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8A" w:rsidRPr="007B14E5" w:rsidRDefault="00D1688A" w:rsidP="007B14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7B14E5">
        <w:rPr>
          <w:b/>
          <w:sz w:val="28"/>
          <w:szCs w:val="28"/>
        </w:rPr>
        <w:t>правоприменительной</w:t>
      </w:r>
      <w:r>
        <w:rPr>
          <w:b/>
          <w:sz w:val="28"/>
          <w:szCs w:val="28"/>
        </w:rPr>
        <w:t xml:space="preserve"> практики</w:t>
      </w:r>
      <w:r w:rsidR="007B14E5">
        <w:rPr>
          <w:b/>
          <w:sz w:val="28"/>
          <w:szCs w:val="28"/>
        </w:rPr>
        <w:t xml:space="preserve"> Тульского УФАС России по контролю за действиями органов власти за </w:t>
      </w:r>
      <w:r w:rsidR="007B14E5">
        <w:rPr>
          <w:b/>
          <w:sz w:val="28"/>
          <w:szCs w:val="28"/>
          <w:lang w:val="en-US"/>
        </w:rPr>
        <w:t>I</w:t>
      </w:r>
      <w:r w:rsidR="007B14E5">
        <w:rPr>
          <w:b/>
          <w:sz w:val="28"/>
          <w:szCs w:val="28"/>
        </w:rPr>
        <w:t xml:space="preserve"> полугодие 2021</w:t>
      </w:r>
    </w:p>
    <w:p w:rsidR="00D1688A" w:rsidRDefault="00D1688A" w:rsidP="00D1688A">
      <w:pPr>
        <w:ind w:firstLine="708"/>
        <w:jc w:val="both"/>
        <w:rPr>
          <w:b/>
          <w:sz w:val="28"/>
          <w:szCs w:val="28"/>
        </w:rPr>
      </w:pPr>
    </w:p>
    <w:p w:rsidR="00D1688A" w:rsidRPr="007B14E5" w:rsidRDefault="00D1688A" w:rsidP="00D1688A">
      <w:pPr>
        <w:ind w:firstLine="708"/>
        <w:jc w:val="both"/>
        <w:rPr>
          <w:b/>
          <w:sz w:val="28"/>
          <w:szCs w:val="28"/>
        </w:rPr>
      </w:pPr>
      <w:r w:rsidRPr="00816AFF">
        <w:rPr>
          <w:b/>
          <w:sz w:val="28"/>
          <w:szCs w:val="28"/>
        </w:rPr>
        <w:t>По вопросу исполнения органами государственной власти субъекта Российской Федерации и органами местного самоуправления планов-графиков (плана мероприятий) по ликвидации и реорганизации унитарных предприятий,</w:t>
      </w:r>
      <w:r w:rsidRPr="00816AFF">
        <w:rPr>
          <w:sz w:val="28"/>
          <w:szCs w:val="28"/>
        </w:rPr>
        <w:t xml:space="preserve"> </w:t>
      </w:r>
      <w:r w:rsidRPr="007B14E5">
        <w:rPr>
          <w:b/>
          <w:sz w:val="28"/>
          <w:szCs w:val="28"/>
        </w:rPr>
        <w:t>принятых в регионе в рамках реализации Федерального закона от 27.12.2019 № 485-ФЗ «О внесении изменений в Федеральный закон «О государственных и муниципальных унитарных предприятиях» и «Федеральный закон «О защите конкуренции»».</w:t>
      </w:r>
    </w:p>
    <w:p w:rsidR="00D1688A" w:rsidRPr="00816AFF" w:rsidRDefault="00D1688A" w:rsidP="00D1688A">
      <w:pPr>
        <w:ind w:firstLine="708"/>
        <w:jc w:val="both"/>
        <w:rPr>
          <w:sz w:val="28"/>
          <w:szCs w:val="28"/>
        </w:rPr>
      </w:pPr>
      <w:r w:rsidRPr="00816AFF">
        <w:rPr>
          <w:sz w:val="28"/>
          <w:szCs w:val="28"/>
        </w:rPr>
        <w:t xml:space="preserve">В целях реализации положений Федерального закона и рекомендаций ФАС России </w:t>
      </w:r>
      <w:r>
        <w:rPr>
          <w:sz w:val="28"/>
          <w:szCs w:val="28"/>
        </w:rPr>
        <w:t>МИЗО ТО</w:t>
      </w:r>
      <w:r w:rsidRPr="00816AFF">
        <w:rPr>
          <w:sz w:val="28"/>
          <w:szCs w:val="28"/>
        </w:rPr>
        <w:t xml:space="preserve"> совместно с органами исполнительной власти Тульской области и органами местного самоуправления Тульской области разработан план мероприятий Тульской области по реформированию государственных и муниципальных унитарных предприятий на период до 01.01.2025 года, котор</w:t>
      </w:r>
      <w:bookmarkStart w:id="0" w:name="_GoBack"/>
      <w:bookmarkEnd w:id="0"/>
      <w:r w:rsidRPr="00816AFF">
        <w:rPr>
          <w:sz w:val="28"/>
          <w:szCs w:val="28"/>
        </w:rPr>
        <w:t>ый согласован органами исполнительной власти Тульской области и утвержден в августе 2020 года.</w:t>
      </w:r>
    </w:p>
    <w:p w:rsidR="00D1688A" w:rsidRPr="00816AFF" w:rsidRDefault="00D1688A" w:rsidP="00D1688A">
      <w:pPr>
        <w:ind w:firstLine="708"/>
        <w:jc w:val="both"/>
        <w:rPr>
          <w:sz w:val="28"/>
          <w:szCs w:val="28"/>
        </w:rPr>
      </w:pPr>
      <w:r w:rsidRPr="00816AFF">
        <w:rPr>
          <w:sz w:val="28"/>
          <w:szCs w:val="28"/>
        </w:rPr>
        <w:t>Реализация мероприятий по реформированию государственных и муниципальных унитарных предприятий в Тульской области планируется в 3 этапа:</w:t>
      </w:r>
    </w:p>
    <w:p w:rsidR="00D1688A" w:rsidRPr="00816AFF" w:rsidRDefault="00D1688A" w:rsidP="00D1688A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816AFF">
        <w:rPr>
          <w:sz w:val="28"/>
          <w:szCs w:val="28"/>
        </w:rPr>
        <w:t>-</w:t>
      </w:r>
      <w:r w:rsidRPr="00816AFF">
        <w:rPr>
          <w:sz w:val="28"/>
          <w:szCs w:val="28"/>
        </w:rPr>
        <w:tab/>
        <w:t xml:space="preserve">первый этап (подготовительный) - </w:t>
      </w:r>
      <w:proofErr w:type="gramStart"/>
      <w:r w:rsidRPr="00816AFF">
        <w:rPr>
          <w:sz w:val="28"/>
          <w:szCs w:val="28"/>
        </w:rPr>
        <w:t>с даты утверждения</w:t>
      </w:r>
      <w:proofErr w:type="gramEnd"/>
      <w:r w:rsidRPr="00816AFF">
        <w:rPr>
          <w:sz w:val="28"/>
          <w:szCs w:val="28"/>
        </w:rPr>
        <w:t xml:space="preserve"> Плана мероприятий</w:t>
      </w:r>
      <w:r>
        <w:rPr>
          <w:sz w:val="28"/>
          <w:szCs w:val="28"/>
        </w:rPr>
        <w:t xml:space="preserve"> </w:t>
      </w:r>
      <w:r w:rsidRPr="00816AFF">
        <w:rPr>
          <w:sz w:val="28"/>
          <w:szCs w:val="28"/>
        </w:rPr>
        <w:t>по 31.12.2021;</w:t>
      </w:r>
    </w:p>
    <w:p w:rsidR="00D1688A" w:rsidRPr="00816AFF" w:rsidRDefault="00D1688A" w:rsidP="00D1688A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816AFF">
        <w:rPr>
          <w:sz w:val="28"/>
          <w:szCs w:val="28"/>
        </w:rPr>
        <w:t>-</w:t>
      </w:r>
      <w:r w:rsidRPr="00816AFF">
        <w:rPr>
          <w:sz w:val="28"/>
          <w:szCs w:val="28"/>
        </w:rPr>
        <w:tab/>
        <w:t>второй этап - с 01.01.2022 по 31.12.2022;</w:t>
      </w:r>
    </w:p>
    <w:p w:rsidR="00D1688A" w:rsidRPr="00816AFF" w:rsidRDefault="00D1688A" w:rsidP="00D1688A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816AFF">
        <w:rPr>
          <w:sz w:val="28"/>
          <w:szCs w:val="28"/>
        </w:rPr>
        <w:t>-</w:t>
      </w:r>
      <w:r w:rsidRPr="00816AFF">
        <w:rPr>
          <w:sz w:val="28"/>
          <w:szCs w:val="28"/>
        </w:rPr>
        <w:tab/>
        <w:t>третий этап - с 01.01.2023 по 31.12.2024.</w:t>
      </w:r>
    </w:p>
    <w:p w:rsidR="00D1688A" w:rsidRPr="00816AFF" w:rsidRDefault="00D1688A" w:rsidP="00D1688A">
      <w:pPr>
        <w:ind w:firstLine="708"/>
        <w:jc w:val="both"/>
        <w:rPr>
          <w:sz w:val="28"/>
          <w:szCs w:val="28"/>
        </w:rPr>
      </w:pPr>
      <w:r w:rsidRPr="00816AFF">
        <w:rPr>
          <w:sz w:val="28"/>
          <w:szCs w:val="28"/>
        </w:rPr>
        <w:t>По состоянию на конец августа 2020 года общее количество муниципальных унитарных предприятий составляло - 89 предприятий.</w:t>
      </w:r>
    </w:p>
    <w:p w:rsidR="00D1688A" w:rsidRPr="00816AFF" w:rsidRDefault="00D1688A" w:rsidP="00D1688A">
      <w:pPr>
        <w:ind w:firstLine="708"/>
        <w:jc w:val="both"/>
        <w:rPr>
          <w:sz w:val="28"/>
          <w:szCs w:val="28"/>
        </w:rPr>
      </w:pPr>
      <w:r w:rsidRPr="00816AFF">
        <w:rPr>
          <w:sz w:val="28"/>
          <w:szCs w:val="28"/>
        </w:rPr>
        <w:t>По состоянию на 31.03.2021 общее количество муниципальных унитарных предприятий, сведения о которых содержатся в ЕГРЮЛ, составляет 85, из которых: 70 предприятий, основанных на праве хозяйственного ведения, 15 муниципальных казенных предприятий.</w:t>
      </w:r>
    </w:p>
    <w:p w:rsidR="00D1688A" w:rsidRPr="00816AFF" w:rsidRDefault="00D1688A" w:rsidP="00D1688A">
      <w:pPr>
        <w:ind w:firstLine="708"/>
        <w:jc w:val="both"/>
        <w:rPr>
          <w:sz w:val="28"/>
          <w:szCs w:val="28"/>
        </w:rPr>
      </w:pPr>
      <w:r w:rsidRPr="00816AFF">
        <w:rPr>
          <w:sz w:val="28"/>
          <w:szCs w:val="28"/>
        </w:rPr>
        <w:t>Из общего числа муниципальных предприятий: 10 предприятий находятся в стадии банкротства; 9 предприятий - в стадии ликвидации (реорганизации).</w:t>
      </w:r>
    </w:p>
    <w:p w:rsidR="00D1688A" w:rsidRDefault="00D1688A" w:rsidP="00D1688A">
      <w:pPr>
        <w:ind w:firstLine="708"/>
        <w:jc w:val="both"/>
        <w:rPr>
          <w:sz w:val="28"/>
          <w:szCs w:val="28"/>
        </w:rPr>
      </w:pPr>
      <w:r w:rsidRPr="00816AFF">
        <w:rPr>
          <w:sz w:val="28"/>
          <w:szCs w:val="28"/>
        </w:rPr>
        <w:t>В настоящее время утвержденный План мероприятий не требует корректировки и актуализации. Работа по исполнению Плана мероприятий по ликвидации, реорганизации унитарных предприятий продолжается.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before="322" w:line="322" w:lineRule="exact"/>
        <w:ind w:left="5" w:right="24" w:firstLine="715"/>
        <w:jc w:val="both"/>
        <w:rPr>
          <w:rFonts w:eastAsiaTheme="minorEastAsia"/>
          <w:b/>
          <w:sz w:val="20"/>
          <w:szCs w:val="20"/>
        </w:rPr>
      </w:pPr>
      <w:r w:rsidRPr="00473ECF">
        <w:rPr>
          <w:b/>
          <w:color w:val="000000"/>
          <w:spacing w:val="6"/>
          <w:sz w:val="28"/>
          <w:szCs w:val="28"/>
        </w:rPr>
        <w:t>О</w:t>
      </w:r>
      <w:r w:rsidRPr="00843FFB">
        <w:rPr>
          <w:b/>
          <w:color w:val="000000"/>
          <w:spacing w:val="6"/>
          <w:sz w:val="28"/>
          <w:szCs w:val="28"/>
        </w:rPr>
        <w:t xml:space="preserve"> достижении целевых </w:t>
      </w:r>
      <w:r w:rsidRPr="00843FFB">
        <w:rPr>
          <w:b/>
          <w:color w:val="000000"/>
          <w:sz w:val="28"/>
          <w:szCs w:val="28"/>
        </w:rPr>
        <w:t>показателей на товарных рынках Тульской области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30"/>
        <w:rPr>
          <w:rFonts w:eastAsiaTheme="minorEastAsia"/>
          <w:b/>
          <w:i/>
          <w:sz w:val="20"/>
          <w:szCs w:val="20"/>
        </w:rPr>
      </w:pPr>
      <w:r w:rsidRPr="00843FFB">
        <w:rPr>
          <w:rFonts w:eastAsiaTheme="minorEastAsia"/>
          <w:b/>
          <w:i/>
          <w:color w:val="000000"/>
          <w:sz w:val="28"/>
          <w:szCs w:val="28"/>
        </w:rPr>
        <w:t xml:space="preserve">1. </w:t>
      </w:r>
      <w:r w:rsidRPr="00843FFB">
        <w:rPr>
          <w:b/>
          <w:i/>
          <w:color w:val="000000"/>
          <w:sz w:val="28"/>
          <w:szCs w:val="28"/>
        </w:rPr>
        <w:t>Рынок услуг общего образования.</w:t>
      </w:r>
    </w:p>
    <w:p w:rsidR="00D1688A" w:rsidRPr="00473ECF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20"/>
        <w:jc w:val="both"/>
        <w:rPr>
          <w:rFonts w:eastAsiaTheme="minorEastAsia"/>
          <w:sz w:val="20"/>
          <w:szCs w:val="20"/>
        </w:rPr>
      </w:pPr>
      <w:r w:rsidRPr="00473ECF">
        <w:rPr>
          <w:color w:val="000000"/>
          <w:spacing w:val="2"/>
          <w:sz w:val="28"/>
          <w:szCs w:val="28"/>
        </w:rPr>
        <w:t xml:space="preserve">Согласно информации министерства образования Тульской области </w:t>
      </w:r>
      <w:r w:rsidRPr="00473ECF">
        <w:rPr>
          <w:color w:val="000000"/>
          <w:spacing w:val="5"/>
          <w:sz w:val="28"/>
          <w:szCs w:val="28"/>
        </w:rPr>
        <w:t xml:space="preserve">мероприятия по содействию развитию конкуренции реализуются на всех </w:t>
      </w:r>
      <w:r w:rsidRPr="00473ECF">
        <w:rPr>
          <w:color w:val="000000"/>
          <w:spacing w:val="1"/>
          <w:sz w:val="28"/>
          <w:szCs w:val="28"/>
        </w:rPr>
        <w:t>уровнях образования.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9" w:firstLine="715"/>
        <w:jc w:val="both"/>
        <w:rPr>
          <w:color w:val="000000"/>
          <w:sz w:val="28"/>
          <w:szCs w:val="28"/>
        </w:rPr>
      </w:pPr>
      <w:r w:rsidRPr="00843FFB">
        <w:rPr>
          <w:color w:val="000000"/>
          <w:sz w:val="28"/>
          <w:szCs w:val="28"/>
        </w:rPr>
        <w:t xml:space="preserve">По итогам 2020 года контингент негосударственных школ составил 0,52% от общего числа обучающихся общеобразовательных организаций </w:t>
      </w:r>
      <w:r w:rsidRPr="00843FFB">
        <w:rPr>
          <w:color w:val="000000"/>
          <w:sz w:val="28"/>
          <w:szCs w:val="28"/>
        </w:rPr>
        <w:lastRenderedPageBreak/>
        <w:t>Тульской области. Данный показатель на 0,45% меньше запланированного значения на 2020 год.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9" w:firstLine="715"/>
        <w:jc w:val="both"/>
        <w:rPr>
          <w:color w:val="000000"/>
          <w:sz w:val="28"/>
          <w:szCs w:val="28"/>
        </w:rPr>
      </w:pPr>
      <w:r w:rsidRPr="00843FFB">
        <w:rPr>
          <w:color w:val="000000"/>
          <w:sz w:val="28"/>
          <w:szCs w:val="28"/>
        </w:rPr>
        <w:t>Значение показателя не достигнуто по причине увеличения числа детей, посещающих муниципальные и государственные общеобразовательные учреждения, при сохранении на прежнем уровне числа обучающихся частных образовательных организаций.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9" w:firstLine="715"/>
        <w:jc w:val="both"/>
        <w:rPr>
          <w:color w:val="000000"/>
          <w:sz w:val="28"/>
          <w:szCs w:val="28"/>
        </w:rPr>
      </w:pPr>
      <w:r w:rsidRPr="00843FFB">
        <w:rPr>
          <w:color w:val="000000"/>
          <w:sz w:val="28"/>
          <w:szCs w:val="28"/>
        </w:rPr>
        <w:t xml:space="preserve">При этом показатель «Количество в Тульской области негосударственных общеобразовательных организаций, получателей субсидии» по итогам 2020 года </w:t>
      </w:r>
      <w:proofErr w:type="gramStart"/>
      <w:r w:rsidRPr="00843FFB">
        <w:rPr>
          <w:color w:val="000000"/>
          <w:sz w:val="28"/>
          <w:szCs w:val="28"/>
        </w:rPr>
        <w:t>достигнут</w:t>
      </w:r>
      <w:proofErr w:type="gramEnd"/>
      <w:r w:rsidRPr="00843FFB">
        <w:rPr>
          <w:color w:val="000000"/>
          <w:sz w:val="28"/>
          <w:szCs w:val="28"/>
        </w:rPr>
        <w:t xml:space="preserve"> и составил 5 организаций.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9" w:firstLine="715"/>
        <w:jc w:val="both"/>
        <w:rPr>
          <w:color w:val="000000"/>
          <w:sz w:val="28"/>
          <w:szCs w:val="28"/>
        </w:rPr>
      </w:pPr>
      <w:r w:rsidRPr="00843FFB">
        <w:rPr>
          <w:color w:val="000000"/>
          <w:sz w:val="28"/>
          <w:szCs w:val="28"/>
        </w:rPr>
        <w:t>Рынок услуг среднего профессионального образования представлен 7 негосударственными профессиональными образовательными организациями (13,71% от общего числа профессиональных образовательных организаций Тульской области). Континент - 13,5% студентов от общего числа студентов профессиональных образовательных организаций Тульской области.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715"/>
        <w:jc w:val="both"/>
        <w:rPr>
          <w:rFonts w:eastAsiaTheme="minorEastAsia"/>
          <w:b/>
          <w:i/>
          <w:sz w:val="20"/>
          <w:szCs w:val="20"/>
        </w:rPr>
      </w:pPr>
      <w:r w:rsidRPr="00843FFB">
        <w:rPr>
          <w:rFonts w:eastAsiaTheme="minorEastAsia"/>
          <w:b/>
          <w:i/>
          <w:color w:val="000000"/>
          <w:spacing w:val="2"/>
          <w:sz w:val="28"/>
          <w:szCs w:val="28"/>
        </w:rPr>
        <w:t xml:space="preserve">2. </w:t>
      </w:r>
      <w:r w:rsidRPr="00843FFB">
        <w:rPr>
          <w:b/>
          <w:i/>
          <w:color w:val="000000"/>
          <w:spacing w:val="2"/>
          <w:sz w:val="28"/>
          <w:szCs w:val="28"/>
        </w:rPr>
        <w:t xml:space="preserve">Рынок услуг розничной торговли лекарственными препаратами, </w:t>
      </w:r>
      <w:r w:rsidRPr="00843FFB">
        <w:rPr>
          <w:b/>
          <w:i/>
          <w:color w:val="000000"/>
          <w:sz w:val="28"/>
          <w:szCs w:val="28"/>
        </w:rPr>
        <w:t>медицинскими изделиями и сопутствующими товарами.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715"/>
        <w:jc w:val="both"/>
        <w:rPr>
          <w:rFonts w:eastAsiaTheme="minorEastAsia"/>
          <w:sz w:val="20"/>
          <w:szCs w:val="20"/>
        </w:rPr>
      </w:pPr>
      <w:r w:rsidRPr="00843FFB">
        <w:rPr>
          <w:color w:val="000000"/>
          <w:spacing w:val="-1"/>
          <w:sz w:val="28"/>
          <w:szCs w:val="28"/>
        </w:rPr>
        <w:t xml:space="preserve">Согласно информации министерства здравоохранения Тульской области </w:t>
      </w:r>
      <w:proofErr w:type="gramStart"/>
      <w:r w:rsidRPr="00843FFB">
        <w:rPr>
          <w:color w:val="000000"/>
          <w:spacing w:val="1"/>
          <w:sz w:val="28"/>
          <w:szCs w:val="28"/>
        </w:rPr>
        <w:t>на конец</w:t>
      </w:r>
      <w:proofErr w:type="gramEnd"/>
      <w:r w:rsidRPr="00843FFB">
        <w:rPr>
          <w:color w:val="000000"/>
          <w:spacing w:val="1"/>
          <w:sz w:val="28"/>
          <w:szCs w:val="28"/>
        </w:rPr>
        <w:t xml:space="preserve"> 2020 года 162 организации осуществляли деятельность по розничной </w:t>
      </w:r>
      <w:r w:rsidRPr="00843FFB">
        <w:rPr>
          <w:color w:val="000000"/>
          <w:spacing w:val="6"/>
          <w:sz w:val="28"/>
          <w:szCs w:val="28"/>
        </w:rPr>
        <w:t xml:space="preserve">торговле лекарственными препаратами, медицинскими изделиями и </w:t>
      </w:r>
      <w:r w:rsidRPr="00843FFB">
        <w:rPr>
          <w:color w:val="000000"/>
          <w:spacing w:val="2"/>
          <w:sz w:val="28"/>
          <w:szCs w:val="28"/>
        </w:rPr>
        <w:t xml:space="preserve">сопутствующими товарами, из них 1 учреждение - государственное (ГУП ТО </w:t>
      </w:r>
      <w:r w:rsidRPr="00843FFB">
        <w:rPr>
          <w:color w:val="000000"/>
          <w:sz w:val="28"/>
          <w:szCs w:val="28"/>
        </w:rPr>
        <w:t>«Фармация»). Доля частных организаций составляет 99,6%.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710"/>
        <w:jc w:val="both"/>
        <w:rPr>
          <w:rFonts w:eastAsiaTheme="minorEastAsia"/>
          <w:sz w:val="20"/>
          <w:szCs w:val="20"/>
        </w:rPr>
      </w:pPr>
      <w:r w:rsidRPr="00843FFB">
        <w:rPr>
          <w:color w:val="000000"/>
          <w:spacing w:val="3"/>
          <w:sz w:val="28"/>
          <w:szCs w:val="28"/>
        </w:rPr>
        <w:t xml:space="preserve">По состоянию на 01.06.2021 указанную деятельность осуществляет 171 </w:t>
      </w:r>
      <w:r w:rsidRPr="00843FFB">
        <w:rPr>
          <w:color w:val="000000"/>
          <w:spacing w:val="-2"/>
          <w:sz w:val="28"/>
          <w:szCs w:val="28"/>
        </w:rPr>
        <w:t xml:space="preserve">организация (в </w:t>
      </w:r>
      <w:proofErr w:type="spellStart"/>
      <w:r w:rsidRPr="00843FFB">
        <w:rPr>
          <w:color w:val="000000"/>
          <w:spacing w:val="-2"/>
          <w:sz w:val="28"/>
          <w:szCs w:val="28"/>
        </w:rPr>
        <w:t>т.ч</w:t>
      </w:r>
      <w:proofErr w:type="spellEnd"/>
      <w:r w:rsidRPr="00843FFB">
        <w:rPr>
          <w:color w:val="000000"/>
          <w:spacing w:val="-2"/>
          <w:sz w:val="28"/>
          <w:szCs w:val="28"/>
        </w:rPr>
        <w:t xml:space="preserve">. ГУП ТО «Фармация»). Доля частных организаций составляет </w:t>
      </w:r>
      <w:r w:rsidRPr="00843FFB">
        <w:rPr>
          <w:color w:val="000000"/>
          <w:spacing w:val="3"/>
          <w:sz w:val="28"/>
          <w:szCs w:val="28"/>
        </w:rPr>
        <w:t>99,4%.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 w:firstLine="715"/>
        <w:jc w:val="both"/>
        <w:rPr>
          <w:rFonts w:eastAsiaTheme="minorEastAsia"/>
          <w:sz w:val="20"/>
          <w:szCs w:val="20"/>
        </w:rPr>
      </w:pPr>
      <w:r w:rsidRPr="00843FFB">
        <w:rPr>
          <w:color w:val="000000"/>
          <w:spacing w:val="10"/>
          <w:sz w:val="28"/>
          <w:szCs w:val="28"/>
        </w:rPr>
        <w:t xml:space="preserve">В то же время, минимальный показатель в Стандарте развития </w:t>
      </w:r>
      <w:r w:rsidRPr="00843FFB">
        <w:rPr>
          <w:color w:val="000000"/>
          <w:sz w:val="28"/>
          <w:szCs w:val="28"/>
        </w:rPr>
        <w:t xml:space="preserve">конкуренции в субъектах Российской Федерации (Распоряжение Правительства </w:t>
      </w:r>
      <w:r w:rsidRPr="00843FFB">
        <w:rPr>
          <w:color w:val="000000"/>
          <w:spacing w:val="10"/>
          <w:sz w:val="28"/>
          <w:szCs w:val="28"/>
        </w:rPr>
        <w:t xml:space="preserve">Российской Федерации от 17.04.2019 № 768-р) составляет 60% (доля </w:t>
      </w:r>
      <w:r w:rsidRPr="00843FFB">
        <w:rPr>
          <w:color w:val="000000"/>
          <w:spacing w:val="-2"/>
          <w:sz w:val="28"/>
          <w:szCs w:val="28"/>
        </w:rPr>
        <w:t>организаций частной формы собственности от общего количества организаций).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right="29" w:firstLine="715"/>
        <w:jc w:val="both"/>
        <w:rPr>
          <w:rFonts w:eastAsiaTheme="minorEastAsia"/>
          <w:b/>
          <w:i/>
          <w:sz w:val="20"/>
          <w:szCs w:val="20"/>
        </w:rPr>
      </w:pPr>
      <w:r w:rsidRPr="00843FFB">
        <w:rPr>
          <w:rFonts w:eastAsiaTheme="minorEastAsia"/>
          <w:b/>
          <w:i/>
          <w:color w:val="000000"/>
          <w:spacing w:val="4"/>
          <w:sz w:val="28"/>
          <w:szCs w:val="28"/>
        </w:rPr>
        <w:t>3.</w:t>
      </w:r>
      <w:r w:rsidRPr="00843FFB">
        <w:rPr>
          <w:b/>
          <w:i/>
          <w:color w:val="000000"/>
          <w:spacing w:val="4"/>
          <w:sz w:val="28"/>
          <w:szCs w:val="28"/>
        </w:rPr>
        <w:t xml:space="preserve">Рынок оказания услуг по перевозке пассажиров автомобильным </w:t>
      </w:r>
      <w:r w:rsidRPr="00843FFB">
        <w:rPr>
          <w:b/>
          <w:i/>
          <w:color w:val="000000"/>
          <w:spacing w:val="1"/>
          <w:sz w:val="28"/>
          <w:szCs w:val="28"/>
        </w:rPr>
        <w:t>транспортом по муниципальным маршрутам регулярных перевозок.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4" w:firstLine="715"/>
        <w:jc w:val="both"/>
        <w:rPr>
          <w:rFonts w:eastAsiaTheme="minorEastAsia"/>
          <w:sz w:val="20"/>
          <w:szCs w:val="20"/>
        </w:rPr>
      </w:pPr>
      <w:r w:rsidRPr="00843FFB">
        <w:rPr>
          <w:color w:val="000000"/>
          <w:spacing w:val="2"/>
          <w:sz w:val="28"/>
          <w:szCs w:val="28"/>
        </w:rPr>
        <w:t xml:space="preserve">Согласно информации министерства транспорта и дорожного хозяйства </w:t>
      </w:r>
      <w:r w:rsidRPr="00843FFB">
        <w:rPr>
          <w:color w:val="000000"/>
          <w:spacing w:val="1"/>
          <w:sz w:val="28"/>
          <w:szCs w:val="28"/>
        </w:rPr>
        <w:t xml:space="preserve">Тульской области по состоянию на 31.12.2020 перевозку пассажиров и багажа </w:t>
      </w:r>
      <w:r w:rsidRPr="00843FFB">
        <w:rPr>
          <w:color w:val="000000"/>
          <w:spacing w:val="3"/>
          <w:sz w:val="28"/>
          <w:szCs w:val="28"/>
        </w:rPr>
        <w:t xml:space="preserve">автомобильным транспортом по муниципальным маршрутам регулярных перевозок осуществляла 51 организация (5 по регулируемым тарифам, 5 по </w:t>
      </w:r>
      <w:r w:rsidRPr="00843FFB">
        <w:rPr>
          <w:color w:val="000000"/>
          <w:spacing w:val="-1"/>
          <w:sz w:val="28"/>
          <w:szCs w:val="28"/>
        </w:rPr>
        <w:t xml:space="preserve">регулируемым и нерегулируемым тарифам, 41 по нерегулируемым тарифам), из </w:t>
      </w:r>
      <w:r w:rsidRPr="00843FFB">
        <w:rPr>
          <w:color w:val="000000"/>
          <w:spacing w:val="-3"/>
          <w:sz w:val="28"/>
          <w:szCs w:val="28"/>
        </w:rPr>
        <w:t xml:space="preserve">них: общество с ограниченной ответственностью — 31, муниципальное казенное </w:t>
      </w:r>
      <w:r w:rsidRPr="00843FFB">
        <w:rPr>
          <w:color w:val="000000"/>
          <w:spacing w:val="2"/>
          <w:sz w:val="28"/>
          <w:szCs w:val="28"/>
        </w:rPr>
        <w:t xml:space="preserve">предприятие - 1, муниципальное унитарное предприятие - 1, индивидуальные </w:t>
      </w:r>
      <w:r w:rsidRPr="00843FFB">
        <w:rPr>
          <w:color w:val="000000"/>
          <w:sz w:val="28"/>
          <w:szCs w:val="28"/>
        </w:rPr>
        <w:t>предприниматели - 18. Доля частных организаций составляет 98%.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4" w:firstLine="706"/>
        <w:jc w:val="both"/>
        <w:rPr>
          <w:rFonts w:eastAsiaTheme="minorEastAsia"/>
          <w:sz w:val="20"/>
          <w:szCs w:val="20"/>
        </w:rPr>
      </w:pPr>
      <w:r w:rsidRPr="00843FFB">
        <w:rPr>
          <w:color w:val="000000"/>
          <w:spacing w:val="13"/>
          <w:sz w:val="28"/>
          <w:szCs w:val="28"/>
        </w:rPr>
        <w:t xml:space="preserve">По состоянию на 09.06.2021 перевозку пассажиров и багажа </w:t>
      </w:r>
      <w:r w:rsidRPr="00843FFB">
        <w:rPr>
          <w:color w:val="000000"/>
          <w:spacing w:val="3"/>
          <w:sz w:val="28"/>
          <w:szCs w:val="28"/>
        </w:rPr>
        <w:t xml:space="preserve">автомобильным транспортом по муниципальным маршрутам регулярных </w:t>
      </w:r>
      <w:r w:rsidRPr="00843FFB">
        <w:rPr>
          <w:color w:val="000000"/>
          <w:spacing w:val="2"/>
          <w:sz w:val="28"/>
          <w:szCs w:val="28"/>
        </w:rPr>
        <w:t xml:space="preserve">перевозок осуществляет 50 организаций, из них: общество с ограниченной </w:t>
      </w:r>
      <w:r w:rsidRPr="00843FFB">
        <w:rPr>
          <w:color w:val="000000"/>
          <w:spacing w:val="12"/>
          <w:sz w:val="28"/>
          <w:szCs w:val="28"/>
        </w:rPr>
        <w:t xml:space="preserve">ответственностью - 31, муниципальное казенное предприятие - 1, </w:t>
      </w:r>
      <w:r w:rsidRPr="00843FFB">
        <w:rPr>
          <w:color w:val="000000"/>
          <w:spacing w:val="1"/>
          <w:sz w:val="28"/>
          <w:szCs w:val="28"/>
        </w:rPr>
        <w:lastRenderedPageBreak/>
        <w:t xml:space="preserve">индивидуальные предприниматели - 18. Доля частных организаций составляет </w:t>
      </w:r>
      <w:r w:rsidRPr="00843FFB">
        <w:rPr>
          <w:color w:val="000000"/>
          <w:spacing w:val="2"/>
          <w:sz w:val="28"/>
          <w:szCs w:val="28"/>
        </w:rPr>
        <w:t>98%.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715"/>
        <w:jc w:val="both"/>
        <w:rPr>
          <w:color w:val="000000"/>
          <w:sz w:val="28"/>
          <w:szCs w:val="28"/>
        </w:rPr>
      </w:pPr>
      <w:r w:rsidRPr="00843FFB">
        <w:rPr>
          <w:color w:val="000000"/>
          <w:sz w:val="28"/>
          <w:szCs w:val="28"/>
        </w:rPr>
        <w:t>В то же время, минимальный показатель в Стандарте развития конкуренции в субъектах Российской Федерации (Распоряжение Правительства Российской Федерации от 17.04.2019 № 768-р) составляет 20% (доля организаций частной формы собственности от общего количества организаций).</w:t>
      </w:r>
    </w:p>
    <w:p w:rsidR="00D1688A" w:rsidRPr="00843FFB" w:rsidRDefault="00D1688A" w:rsidP="00D1688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line="322" w:lineRule="exact"/>
        <w:ind w:right="17" w:firstLine="714"/>
        <w:jc w:val="both"/>
        <w:rPr>
          <w:b/>
          <w:color w:val="000000"/>
          <w:sz w:val="28"/>
          <w:szCs w:val="28"/>
        </w:rPr>
      </w:pPr>
      <w:r w:rsidRPr="00D1688A">
        <w:rPr>
          <w:b/>
          <w:color w:val="000000"/>
          <w:sz w:val="28"/>
          <w:szCs w:val="28"/>
        </w:rPr>
        <w:t xml:space="preserve">Статистика </w:t>
      </w:r>
    </w:p>
    <w:p w:rsidR="00FF404C" w:rsidRPr="00FF404C" w:rsidRDefault="00FF404C" w:rsidP="00816AFF">
      <w:pPr>
        <w:numPr>
          <w:ilvl w:val="0"/>
          <w:numId w:val="1"/>
        </w:numPr>
        <w:tabs>
          <w:tab w:val="clear" w:pos="810"/>
          <w:tab w:val="num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F404C">
        <w:rPr>
          <w:sz w:val="28"/>
          <w:szCs w:val="28"/>
        </w:rPr>
        <w:t>рассмотрен</w:t>
      </w:r>
      <w:r w:rsidR="00816AFF">
        <w:rPr>
          <w:sz w:val="28"/>
          <w:szCs w:val="28"/>
        </w:rPr>
        <w:t>а</w:t>
      </w:r>
      <w:r w:rsidRPr="00FF404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16AFF">
        <w:rPr>
          <w:sz w:val="28"/>
          <w:szCs w:val="28"/>
        </w:rPr>
        <w:t>1</w:t>
      </w:r>
      <w:r w:rsidRPr="00FF404C">
        <w:rPr>
          <w:sz w:val="28"/>
          <w:szCs w:val="28"/>
        </w:rPr>
        <w:t xml:space="preserve"> жалоб</w:t>
      </w:r>
      <w:r w:rsidR="00816AFF">
        <w:rPr>
          <w:sz w:val="28"/>
          <w:szCs w:val="28"/>
        </w:rPr>
        <w:t>а</w:t>
      </w:r>
      <w:r w:rsidRPr="00FF404C">
        <w:rPr>
          <w:sz w:val="28"/>
          <w:szCs w:val="28"/>
        </w:rPr>
        <w:t xml:space="preserve"> в порядке, предусмотренном статьей 18.1 Федерального закона от 26.07.2006 № 135-ФЗ «О защите конкуренции»;</w:t>
      </w:r>
    </w:p>
    <w:p w:rsidR="00FF404C" w:rsidRDefault="00FF404C" w:rsidP="00816AFF">
      <w:pPr>
        <w:numPr>
          <w:ilvl w:val="0"/>
          <w:numId w:val="1"/>
        </w:numPr>
        <w:tabs>
          <w:tab w:val="clear" w:pos="810"/>
          <w:tab w:val="num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C0BF1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5</w:t>
      </w:r>
      <w:r w:rsidRPr="00EC0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предписаний об </w:t>
      </w:r>
      <w:r w:rsidRPr="00813B8C">
        <w:rPr>
          <w:sz w:val="28"/>
          <w:szCs w:val="28"/>
        </w:rPr>
        <w:t>устран</w:t>
      </w:r>
      <w:r>
        <w:rPr>
          <w:sz w:val="28"/>
          <w:szCs w:val="28"/>
        </w:rPr>
        <w:t>ении</w:t>
      </w:r>
      <w:r w:rsidRPr="00813B8C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 отраслевого законодательства в сфере проведения торгов;</w:t>
      </w:r>
    </w:p>
    <w:p w:rsidR="00816AFF" w:rsidRDefault="00FF404C" w:rsidP="00816AFF">
      <w:pPr>
        <w:numPr>
          <w:ilvl w:val="0"/>
          <w:numId w:val="1"/>
        </w:numPr>
        <w:tabs>
          <w:tab w:val="clear" w:pos="810"/>
          <w:tab w:val="num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C0BF1">
        <w:rPr>
          <w:sz w:val="28"/>
          <w:szCs w:val="28"/>
        </w:rPr>
        <w:t xml:space="preserve">рассмотрено </w:t>
      </w:r>
      <w:r w:rsidR="0058754B">
        <w:rPr>
          <w:sz w:val="28"/>
          <w:szCs w:val="28"/>
        </w:rPr>
        <w:t>1</w:t>
      </w:r>
      <w:r w:rsidR="00816AFF">
        <w:rPr>
          <w:sz w:val="28"/>
          <w:szCs w:val="28"/>
        </w:rPr>
        <w:t>8</w:t>
      </w:r>
      <w:r w:rsidRPr="00EC0BF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EC0BF1">
        <w:rPr>
          <w:sz w:val="28"/>
          <w:szCs w:val="28"/>
        </w:rPr>
        <w:t xml:space="preserve"> о нарушении антимонопольного законодательства</w:t>
      </w:r>
      <w:r>
        <w:rPr>
          <w:sz w:val="28"/>
          <w:szCs w:val="28"/>
        </w:rPr>
        <w:t xml:space="preserve">, </w:t>
      </w:r>
    </w:p>
    <w:p w:rsidR="00816AFF" w:rsidRPr="00816AFF" w:rsidRDefault="00816AFF" w:rsidP="00816AFF">
      <w:pPr>
        <w:pStyle w:val="a3"/>
        <w:numPr>
          <w:ilvl w:val="0"/>
          <w:numId w:val="1"/>
        </w:numPr>
        <w:tabs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816AFF">
        <w:rPr>
          <w:sz w:val="28"/>
          <w:szCs w:val="28"/>
        </w:rPr>
        <w:t xml:space="preserve">в результате рассмотрения </w:t>
      </w:r>
      <w:r>
        <w:rPr>
          <w:sz w:val="28"/>
          <w:szCs w:val="28"/>
        </w:rPr>
        <w:t>2</w:t>
      </w:r>
      <w:r w:rsidRPr="00816AF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816AFF">
        <w:rPr>
          <w:sz w:val="28"/>
          <w:szCs w:val="28"/>
        </w:rPr>
        <w:t xml:space="preserve"> выдано 4 предупреждения о прекращении нарушений антимонопольного законодательства, в том числе выразившихся  в передаче в эксплуатацию и на обслуживание коммунальных объектов, находящихся в муниципальной собственности (объекты водоснабжения и (или) водоотведения) без проведения установленных действующим законодательством Российской Федерации конкурентных процедур;</w:t>
      </w:r>
    </w:p>
    <w:p w:rsidR="0058754B" w:rsidRDefault="0058754B" w:rsidP="0058754B">
      <w:pPr>
        <w:numPr>
          <w:ilvl w:val="0"/>
          <w:numId w:val="1"/>
        </w:numPr>
        <w:tabs>
          <w:tab w:val="clear" w:pos="810"/>
          <w:tab w:val="num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8754B">
        <w:rPr>
          <w:sz w:val="28"/>
          <w:szCs w:val="28"/>
        </w:rPr>
        <w:t xml:space="preserve">в результате взаимодействия с прокуратурой г. Тулы и  УФСБ по Тульской области возбуждено и рассмотрено дело о нарушении антимонопольного законодательства в отношении муниципального учреждения «Управление капитального строительства города Тулы» </w:t>
      </w:r>
      <w:proofErr w:type="gramStart"/>
      <w:r w:rsidRPr="0058754B">
        <w:rPr>
          <w:sz w:val="28"/>
          <w:szCs w:val="28"/>
        </w:rPr>
        <w:t xml:space="preserve">и  </w:t>
      </w:r>
      <w:r w:rsidR="00816AFF">
        <w:rPr>
          <w:sz w:val="28"/>
          <w:szCs w:val="28"/>
        </w:rPr>
        <w:t>ООО</w:t>
      </w:r>
      <w:proofErr w:type="gramEnd"/>
      <w:r w:rsidRPr="0058754B">
        <w:rPr>
          <w:sz w:val="28"/>
          <w:szCs w:val="28"/>
        </w:rPr>
        <w:t xml:space="preserve"> «Вертикаль». Заключив и реализовав антиконкурентное соглашение, направленное на выполнение работ по объекту: «Внеплощадочные сети застройки «Жилой район, расположенный в северной части Зареченского района города Тулы (газ, канализация, водоснабжение, теплоснабжение), в </w:t>
      </w:r>
      <w:proofErr w:type="spellStart"/>
      <w:r w:rsidRPr="0058754B">
        <w:rPr>
          <w:sz w:val="28"/>
          <w:szCs w:val="28"/>
        </w:rPr>
        <w:t>т.ч</w:t>
      </w:r>
      <w:proofErr w:type="spellEnd"/>
      <w:r w:rsidRPr="0058754B">
        <w:rPr>
          <w:sz w:val="28"/>
          <w:szCs w:val="28"/>
        </w:rPr>
        <w:t xml:space="preserve">. ПИР» до заключения контракта, а также на заключение </w:t>
      </w:r>
      <w:proofErr w:type="gramStart"/>
      <w:r w:rsidRPr="0058754B">
        <w:rPr>
          <w:sz w:val="28"/>
          <w:szCs w:val="28"/>
        </w:rPr>
        <w:t>контракта</w:t>
      </w:r>
      <w:proofErr w:type="gramEnd"/>
      <w:r w:rsidRPr="0058754B">
        <w:rPr>
          <w:sz w:val="28"/>
          <w:szCs w:val="28"/>
        </w:rPr>
        <w:t xml:space="preserve"> на выполнение указанных работ на сумму 7 500 000, 00 рублей на основании пункта 8 части 1 статьи 93 Закона о контрактной системе без проведения конкурентных процедур, муниципальное учреждение «Управление капитального строительства города Тулы» </w:t>
      </w:r>
      <w:proofErr w:type="gramStart"/>
      <w:r w:rsidRPr="0058754B">
        <w:rPr>
          <w:sz w:val="28"/>
          <w:szCs w:val="28"/>
        </w:rPr>
        <w:t xml:space="preserve">и </w:t>
      </w:r>
      <w:r w:rsidR="00816AFF">
        <w:rPr>
          <w:sz w:val="28"/>
          <w:szCs w:val="28"/>
        </w:rPr>
        <w:t>ООО</w:t>
      </w:r>
      <w:proofErr w:type="gramEnd"/>
      <w:r w:rsidRPr="0058754B">
        <w:rPr>
          <w:sz w:val="28"/>
          <w:szCs w:val="28"/>
        </w:rPr>
        <w:t xml:space="preserve"> «Вертикаль» нарушили пункт 4 статьи 16 Закона о защите конкуренции; </w:t>
      </w:r>
    </w:p>
    <w:p w:rsidR="00FF404C" w:rsidRDefault="00FF404C" w:rsidP="0058754B">
      <w:pPr>
        <w:numPr>
          <w:ilvl w:val="0"/>
          <w:numId w:val="1"/>
        </w:numPr>
        <w:tabs>
          <w:tab w:val="clear" w:pos="810"/>
          <w:tab w:val="num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F36F9">
        <w:rPr>
          <w:sz w:val="28"/>
          <w:szCs w:val="28"/>
        </w:rPr>
        <w:t>АМО Ясногорского района</w:t>
      </w:r>
      <w:r w:rsidR="00816AFF">
        <w:rPr>
          <w:sz w:val="28"/>
          <w:szCs w:val="28"/>
        </w:rPr>
        <w:t xml:space="preserve">, АМО Щекинского района </w:t>
      </w:r>
      <w:r w:rsidRPr="00AF36F9">
        <w:rPr>
          <w:sz w:val="28"/>
          <w:szCs w:val="28"/>
        </w:rPr>
        <w:t xml:space="preserve"> согласовано внесение изменений в концессионное соглашение;</w:t>
      </w:r>
    </w:p>
    <w:p w:rsidR="00FF404C" w:rsidRPr="00AF36F9" w:rsidRDefault="00FF404C" w:rsidP="0058754B">
      <w:pPr>
        <w:numPr>
          <w:ilvl w:val="0"/>
          <w:numId w:val="1"/>
        </w:numPr>
        <w:tabs>
          <w:tab w:val="clear" w:pos="810"/>
          <w:tab w:val="num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F36F9">
        <w:rPr>
          <w:sz w:val="28"/>
          <w:szCs w:val="28"/>
        </w:rPr>
        <w:t>рассмотрено заявление</w:t>
      </w:r>
      <w:r w:rsidRPr="00AF36F9">
        <w:t xml:space="preserve"> </w:t>
      </w:r>
      <w:r>
        <w:rPr>
          <w:sz w:val="28"/>
          <w:szCs w:val="28"/>
        </w:rPr>
        <w:t>а</w:t>
      </w:r>
      <w:r w:rsidRPr="00AF36F9">
        <w:rPr>
          <w:sz w:val="28"/>
          <w:szCs w:val="28"/>
        </w:rPr>
        <w:t>дминистрация муниципального образования город Алексин о включении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собственности;</w:t>
      </w:r>
    </w:p>
    <w:p w:rsidR="00FF404C" w:rsidRPr="00C91849" w:rsidRDefault="00FF404C" w:rsidP="00C91849">
      <w:pPr>
        <w:numPr>
          <w:ilvl w:val="0"/>
          <w:numId w:val="1"/>
        </w:numPr>
        <w:tabs>
          <w:tab w:val="clear" w:pos="810"/>
          <w:tab w:val="num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34B38">
        <w:rPr>
          <w:sz w:val="28"/>
          <w:szCs w:val="28"/>
        </w:rPr>
        <w:lastRenderedPageBreak/>
        <w:t xml:space="preserve">возбуждено </w:t>
      </w:r>
      <w:r w:rsidR="00816AFF">
        <w:rPr>
          <w:sz w:val="28"/>
          <w:szCs w:val="28"/>
        </w:rPr>
        <w:t>10</w:t>
      </w:r>
      <w:r w:rsidRPr="00A34B38">
        <w:rPr>
          <w:sz w:val="28"/>
          <w:szCs w:val="28"/>
        </w:rPr>
        <w:t xml:space="preserve"> административных дел, в том числе 3 за административное правонарушение, ответственность за которое предусмотрена частями 4, 7 статьи 14.32 Кодекса Российской Федерации об административных правонарушениях</w:t>
      </w:r>
      <w:r w:rsidR="00C91849">
        <w:rPr>
          <w:sz w:val="28"/>
          <w:szCs w:val="28"/>
        </w:rPr>
        <w:t xml:space="preserve"> (</w:t>
      </w:r>
      <w:r w:rsidR="00C91849" w:rsidRPr="00C91849">
        <w:rPr>
          <w:sz w:val="28"/>
          <w:szCs w:val="28"/>
        </w:rPr>
        <w:t>заключение федеральным органом исполнительной власти, органом исполнительной власти субъекта Российской Федерации, органом местного самоуправления,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</w:t>
      </w:r>
      <w:r w:rsidR="00C91849">
        <w:rPr>
          <w:sz w:val="28"/>
          <w:szCs w:val="28"/>
        </w:rPr>
        <w:t>едерации согласованных действий)</w:t>
      </w:r>
      <w:r w:rsidRPr="00C91849">
        <w:rPr>
          <w:sz w:val="28"/>
          <w:szCs w:val="28"/>
        </w:rPr>
        <w:t xml:space="preserve">; 2 дела в отношении АМО Куркинский район за административное правонарушение, ответственность за которое предусмотрена частью 10 статьи 7.32. 4 </w:t>
      </w:r>
      <w:r w:rsidR="00C91849">
        <w:rPr>
          <w:sz w:val="28"/>
          <w:szCs w:val="28"/>
        </w:rPr>
        <w:t>КОАП РФ</w:t>
      </w:r>
      <w:r w:rsidR="00C91849" w:rsidRPr="00C91849">
        <w:rPr>
          <w:sz w:val="28"/>
          <w:szCs w:val="28"/>
        </w:rPr>
        <w:t xml:space="preserve"> (нарушение установленных законодательством Российской Федерации процедуры и порядка организации и </w:t>
      </w:r>
      <w:proofErr w:type="gramStart"/>
      <w:r w:rsidR="00C91849" w:rsidRPr="00C91849">
        <w:rPr>
          <w:sz w:val="28"/>
          <w:szCs w:val="28"/>
        </w:rPr>
        <w:t>проведения</w:t>
      </w:r>
      <w:proofErr w:type="gramEnd"/>
      <w:r w:rsidR="00C91849" w:rsidRPr="00C91849">
        <w:rPr>
          <w:sz w:val="28"/>
          <w:szCs w:val="28"/>
        </w:rPr>
        <w:t xml:space="preserve"> обязательных в соответствии с законодательством Российской Федерации торгов, продажи государственного или муниципального имущества)</w:t>
      </w:r>
      <w:r w:rsidR="0058754B" w:rsidRPr="00C91849">
        <w:rPr>
          <w:sz w:val="28"/>
          <w:szCs w:val="28"/>
        </w:rPr>
        <w:t xml:space="preserve">; </w:t>
      </w:r>
      <w:proofErr w:type="gramStart"/>
      <w:r w:rsidR="0058754B" w:rsidRPr="00C91849">
        <w:rPr>
          <w:sz w:val="28"/>
          <w:szCs w:val="28"/>
        </w:rPr>
        <w:t>1 дело в отношении должностного лица органа местного самоуправления</w:t>
      </w:r>
      <w:r w:rsidRPr="00C91849">
        <w:rPr>
          <w:sz w:val="28"/>
          <w:szCs w:val="28"/>
        </w:rPr>
        <w:t xml:space="preserve"> за административное правонарушение, ответственность за которое предусмотрена частью 1 статьи 14.9 </w:t>
      </w:r>
      <w:r w:rsidR="00C91849" w:rsidRPr="00C91849">
        <w:rPr>
          <w:sz w:val="28"/>
          <w:szCs w:val="28"/>
        </w:rPr>
        <w:t xml:space="preserve">КОАП РФ </w:t>
      </w:r>
      <w:r w:rsidR="00C91849">
        <w:rPr>
          <w:sz w:val="28"/>
          <w:szCs w:val="28"/>
        </w:rPr>
        <w:t>(</w:t>
      </w:r>
      <w:r w:rsidR="00C91849" w:rsidRPr="00C91849">
        <w:rPr>
          <w:sz w:val="28"/>
          <w:szCs w:val="28"/>
        </w:rPr>
        <w:t>действия (бездействие)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которые недопустимы в соответствии с антимонопольным законодательством Российской Федерации и приводят или могут привести к недопущению, ограничению или устранению конкуренции, а</w:t>
      </w:r>
      <w:proofErr w:type="gramEnd"/>
      <w:r w:rsidR="00C91849" w:rsidRPr="00C91849">
        <w:rPr>
          <w:sz w:val="28"/>
          <w:szCs w:val="28"/>
        </w:rPr>
        <w:t xml:space="preserve"> равно к ограничению свободного перемещения товаров (работ, услуг), свободы экономической деятельности</w:t>
      </w:r>
      <w:r w:rsidR="00C91849">
        <w:rPr>
          <w:sz w:val="28"/>
          <w:szCs w:val="28"/>
        </w:rPr>
        <w:t>)</w:t>
      </w:r>
      <w:r w:rsidRPr="00C91849">
        <w:rPr>
          <w:sz w:val="28"/>
          <w:szCs w:val="28"/>
        </w:rPr>
        <w:t>; все штрафы оплачены</w:t>
      </w:r>
      <w:r w:rsidR="0058754B" w:rsidRPr="00C91849">
        <w:rPr>
          <w:sz w:val="28"/>
          <w:szCs w:val="28"/>
        </w:rPr>
        <w:t>;</w:t>
      </w:r>
    </w:p>
    <w:p w:rsidR="00FF404C" w:rsidRDefault="00FF404C" w:rsidP="0058754B">
      <w:pPr>
        <w:numPr>
          <w:ilvl w:val="0"/>
          <w:numId w:val="1"/>
        </w:numPr>
        <w:tabs>
          <w:tab w:val="clear" w:pos="810"/>
          <w:tab w:val="num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2 заявления органов местного самоуправления о </w:t>
      </w:r>
      <w:r w:rsidR="0058754B">
        <w:rPr>
          <w:sz w:val="28"/>
          <w:szCs w:val="28"/>
        </w:rPr>
        <w:t xml:space="preserve">даче согласия на предоставление </w:t>
      </w:r>
      <w:r w:rsidR="0058754B" w:rsidRPr="0058754B">
        <w:rPr>
          <w:sz w:val="28"/>
          <w:szCs w:val="28"/>
        </w:rPr>
        <w:t>муниципальн</w:t>
      </w:r>
      <w:r w:rsidR="0058754B">
        <w:rPr>
          <w:sz w:val="28"/>
          <w:szCs w:val="28"/>
        </w:rPr>
        <w:t>ой</w:t>
      </w:r>
      <w:r w:rsidR="0058754B" w:rsidRPr="0058754B">
        <w:rPr>
          <w:sz w:val="28"/>
          <w:szCs w:val="28"/>
        </w:rPr>
        <w:t xml:space="preserve"> преференци</w:t>
      </w:r>
      <w:r w:rsidR="0058754B">
        <w:rPr>
          <w:sz w:val="28"/>
          <w:szCs w:val="28"/>
        </w:rPr>
        <w:t>и (1 возвращено, 1- отказано);</w:t>
      </w:r>
    </w:p>
    <w:p w:rsidR="00816AFF" w:rsidRDefault="0058754B" w:rsidP="00816AFF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4B38">
        <w:rPr>
          <w:sz w:val="28"/>
          <w:szCs w:val="28"/>
        </w:rPr>
        <w:t xml:space="preserve">осуществляется государственный </w:t>
      </w:r>
      <w:proofErr w:type="gramStart"/>
      <w:r w:rsidRPr="00A34B38">
        <w:rPr>
          <w:sz w:val="28"/>
          <w:szCs w:val="28"/>
        </w:rPr>
        <w:t>контроль за</w:t>
      </w:r>
      <w:proofErr w:type="gramEnd"/>
      <w:r w:rsidRPr="00A34B3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согласованных муниципальных преференций</w:t>
      </w:r>
      <w:r w:rsidRPr="00A34B38">
        <w:rPr>
          <w:sz w:val="28"/>
          <w:szCs w:val="28"/>
        </w:rPr>
        <w:t>;</w:t>
      </w:r>
    </w:p>
    <w:p w:rsidR="00816AFF" w:rsidRPr="00816AFF" w:rsidRDefault="00816AFF" w:rsidP="00816AFF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16AFF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20</w:t>
      </w:r>
      <w:r w:rsidRPr="00816AFF">
        <w:rPr>
          <w:sz w:val="28"/>
          <w:szCs w:val="28"/>
        </w:rPr>
        <w:t xml:space="preserve"> обращений граждан, организаций и органов государственной власти и местного самоуправления;</w:t>
      </w:r>
    </w:p>
    <w:p w:rsidR="00816AFF" w:rsidRDefault="0058754B" w:rsidP="00816AFF">
      <w:pPr>
        <w:numPr>
          <w:ilvl w:val="0"/>
          <w:numId w:val="1"/>
        </w:numPr>
        <w:tabs>
          <w:tab w:val="clear" w:pos="810"/>
          <w:tab w:val="num" w:pos="72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8754B">
        <w:rPr>
          <w:sz w:val="28"/>
          <w:szCs w:val="28"/>
        </w:rPr>
        <w:t>рассматриваются запросы органов власти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</w:t>
      </w:r>
      <w:r>
        <w:rPr>
          <w:sz w:val="28"/>
          <w:szCs w:val="28"/>
        </w:rPr>
        <w:t>.</w:t>
      </w:r>
    </w:p>
    <w:sectPr w:rsidR="0081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1A3B"/>
    <w:multiLevelType w:val="hybridMultilevel"/>
    <w:tmpl w:val="836EB2C2"/>
    <w:lvl w:ilvl="0" w:tplc="63D68E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8A"/>
    <w:rsid w:val="0035428A"/>
    <w:rsid w:val="00473ECF"/>
    <w:rsid w:val="0058754B"/>
    <w:rsid w:val="00632893"/>
    <w:rsid w:val="006B7A5F"/>
    <w:rsid w:val="007B14E5"/>
    <w:rsid w:val="00816AFF"/>
    <w:rsid w:val="00843FFB"/>
    <w:rsid w:val="00C91849"/>
    <w:rsid w:val="00D1688A"/>
    <w:rsid w:val="00F72DF5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2021-05-18T11:31:00Z</dcterms:created>
  <dcterms:modified xsi:type="dcterms:W3CDTF">2021-06-29T05:05:00Z</dcterms:modified>
</cp:coreProperties>
</file>